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r w:rsidRPr="002F02AB">
        <w:rPr>
          <w:rFonts w:ascii="Sylfaen" w:eastAsia="Sylfaen" w:hAnsi="Sylfaen"/>
          <w:b/>
          <w:sz w:val="20"/>
        </w:rPr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</w:rPr>
        <w:t>ავტონომიური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რესპუბლიკებისა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და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DD59C1" w:rsidRDefault="00162E72" w:rsidP="00DD59C1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567"/>
        <w:rPr>
          <w:rFonts w:ascii="Sylfaen" w:eastAsia="Sylfaen" w:hAnsi="Sylfaen" w:cs="Sylfaen"/>
          <w:sz w:val="20"/>
        </w:rPr>
      </w:pPr>
      <w:r w:rsidRPr="00DD59C1">
        <w:rPr>
          <w:rFonts w:ascii="Sylfaen" w:eastAsia="Sylfaen" w:hAnsi="Sylfaen" w:cs="Sylfaen"/>
          <w:sz w:val="20"/>
        </w:rPr>
        <w:t xml:space="preserve">ავტონომიური რესპუბლიკებისა და </w:t>
      </w:r>
      <w:r w:rsidR="004D7DE2" w:rsidRPr="00DD59C1">
        <w:rPr>
          <w:rFonts w:ascii="Sylfaen" w:eastAsia="Sylfaen" w:hAnsi="Sylfaen" w:cs="Sylfaen"/>
          <w:sz w:val="20"/>
        </w:rPr>
        <w:t>მუნიციპალიტეტებისათვის</w:t>
      </w:r>
      <w:r w:rsidRPr="00DD59C1">
        <w:rPr>
          <w:rFonts w:ascii="Sylfaen" w:eastAsia="Sylfaen" w:hAnsi="Sylfaen" w:cs="Sylfaen"/>
          <w:sz w:val="20"/>
        </w:rPr>
        <w:t xml:space="preserve"> გადასაცემი ტრანსფერები</w:t>
      </w:r>
      <w:r w:rsidR="000D2752" w:rsidRPr="00DD59C1">
        <w:rPr>
          <w:rFonts w:ascii="Sylfaen" w:eastAsia="Sylfaen" w:hAnsi="Sylfaen" w:cs="Sylfaen"/>
          <w:sz w:val="20"/>
        </w:rPr>
        <w:t xml:space="preserve"> </w:t>
      </w:r>
      <w:r w:rsidR="000D643D" w:rsidRPr="00DD59C1">
        <w:rPr>
          <w:rFonts w:ascii="Sylfaen" w:eastAsia="Sylfaen" w:hAnsi="Sylfaen" w:cs="Sylfaen"/>
          <w:sz w:val="20"/>
        </w:rPr>
        <w:t>განისაზღვროს</w:t>
      </w:r>
      <w:r w:rsidR="002F02AB" w:rsidRPr="00DD59C1">
        <w:rPr>
          <w:rFonts w:ascii="Sylfaen" w:eastAsia="Sylfaen" w:hAnsi="Sylfaen" w:cs="Sylfaen"/>
          <w:sz w:val="20"/>
        </w:rPr>
        <w:t xml:space="preserve"> </w:t>
      </w:r>
      <w:r w:rsidR="00B24F09" w:rsidRPr="00DD59C1">
        <w:rPr>
          <w:rFonts w:ascii="Sylfaen" w:eastAsia="Sylfaen" w:hAnsi="Sylfaen" w:cs="Sylfaen"/>
          <w:sz w:val="20"/>
        </w:rPr>
        <w:t xml:space="preserve">      </w:t>
      </w:r>
      <w:r w:rsidR="008A4468">
        <w:rPr>
          <w:rFonts w:ascii="Sylfaen" w:eastAsia="Sylfaen" w:hAnsi="Sylfaen" w:cs="Sylfaen"/>
          <w:sz w:val="20"/>
        </w:rPr>
        <w:t>225</w:t>
      </w:r>
      <w:r w:rsidR="000B2BE9" w:rsidRPr="00DD59C1">
        <w:rPr>
          <w:rFonts w:ascii="Sylfaen" w:eastAsia="Sylfaen" w:hAnsi="Sylfaen" w:cs="Sylfaen"/>
          <w:sz w:val="20"/>
        </w:rPr>
        <w:t xml:space="preserve"> </w:t>
      </w:r>
      <w:r w:rsidR="005E625D" w:rsidRPr="00DD59C1">
        <w:rPr>
          <w:rFonts w:ascii="Sylfaen" w:eastAsia="Sylfaen" w:hAnsi="Sylfaen" w:cs="Sylfaen"/>
          <w:sz w:val="20"/>
        </w:rPr>
        <w:t>0</w:t>
      </w:r>
      <w:r w:rsidR="00D020D3" w:rsidRPr="00DD59C1">
        <w:rPr>
          <w:rFonts w:ascii="Sylfaen" w:eastAsia="Sylfaen" w:hAnsi="Sylfaen" w:cs="Sylfaen"/>
          <w:sz w:val="20"/>
        </w:rPr>
        <w:t>00</w:t>
      </w:r>
      <w:r w:rsidR="000B2BE9" w:rsidRPr="00DD59C1">
        <w:rPr>
          <w:rFonts w:ascii="Sylfaen" w:eastAsia="Sylfaen" w:hAnsi="Sylfaen" w:cs="Sylfaen"/>
          <w:sz w:val="20"/>
        </w:rPr>
        <w:t>.</w:t>
      </w:r>
      <w:r w:rsidR="00644C07" w:rsidRPr="00DD59C1">
        <w:rPr>
          <w:rFonts w:ascii="Sylfaen" w:eastAsia="Sylfaen" w:hAnsi="Sylfaen" w:cs="Sylfaen"/>
          <w:sz w:val="20"/>
        </w:rPr>
        <w:t>0</w:t>
      </w:r>
      <w:r w:rsidRPr="00DD59C1">
        <w:rPr>
          <w:rFonts w:ascii="Sylfaen" w:eastAsia="Sylfaen" w:hAnsi="Sylfaen" w:cs="Sylfaen"/>
          <w:sz w:val="20"/>
        </w:rPr>
        <w:t xml:space="preserve"> ათასი ლარის ოდენობით, </w:t>
      </w:r>
      <w:r w:rsidR="007A57B1" w:rsidRPr="00DD59C1">
        <w:rPr>
          <w:rFonts w:ascii="Sylfaen" w:eastAsia="Sylfaen" w:hAnsi="Sylfaen" w:cs="Sylfaen"/>
          <w:sz w:val="20"/>
        </w:rPr>
        <w:t>თანდართული რედაქციით:</w:t>
      </w:r>
      <w:r w:rsidRPr="00DD59C1">
        <w:rPr>
          <w:rFonts w:ascii="Sylfaen" w:eastAsia="Sylfaen" w:hAnsi="Sylfaen" w:cs="Sylfaen"/>
          <w:sz w:val="20"/>
        </w:rPr>
        <w:t xml:space="preserve"> </w:t>
      </w:r>
    </w:p>
    <w:p w:rsidR="00D020D3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p w:rsidR="00687896" w:rsidRPr="0086296D" w:rsidRDefault="00687896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420"/>
        <w:gridCol w:w="3515"/>
        <w:gridCol w:w="1998"/>
      </w:tblGrid>
      <w:tr w:rsidR="008A4468" w:rsidRPr="00687896" w:rsidTr="00687896">
        <w:trPr>
          <w:trHeight w:val="288"/>
          <w:tblHeader/>
        </w:trPr>
        <w:tc>
          <w:tcPr>
            <w:tcW w:w="1801" w:type="pct"/>
            <w:shd w:val="clear" w:color="000000" w:fill="FFFFFF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3:E71"/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ერთეულების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განსახორციელებლად*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r w:rsidRPr="00687896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 ავტონომიური რესპუბლიკა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9,000.0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175,460.0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175,000.0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1,080.0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280.0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ქურთის მუნიციპალი</w:t>
            </w:r>
            <w:bookmarkStart w:id="1" w:name="_GoBack"/>
            <w:bookmarkEnd w:id="1"/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2,170.0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2,080.0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2,015.0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1,680.0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1,650.0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2,660.0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2,570.0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19,650.0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15,150.0</w:t>
            </w:r>
          </w:p>
        </w:tc>
      </w:tr>
      <w:tr w:rsidR="008A4468" w:rsidRPr="00687896" w:rsidTr="00687896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687896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225,000.0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8A4468" w:rsidRPr="00687896" w:rsidRDefault="008A4468" w:rsidP="008A446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208,500.0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Pr="00854585" w:rsidRDefault="008A4468" w:rsidP="008A4468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854585">
        <w:rPr>
          <w:rFonts w:ascii="Sylfaen" w:hAnsi="Sylfaen"/>
          <w:sz w:val="18"/>
          <w:szCs w:val="18"/>
        </w:rPr>
        <w:t xml:space="preserve">შენიშვნა </w:t>
      </w:r>
      <w:r w:rsidRPr="00854585">
        <w:rPr>
          <w:rFonts w:ascii="Sylfaen" w:hAnsi="Sylfaen"/>
          <w:sz w:val="18"/>
          <w:szCs w:val="18"/>
          <w:lang w:val="ka-GE"/>
        </w:rPr>
        <w:t>(*)</w:t>
      </w:r>
      <w:r w:rsidRPr="00854585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>,</w:t>
      </w:r>
      <w:r w:rsidRPr="00854585">
        <w:rPr>
          <w:rFonts w:ascii="Sylfaen" w:hAnsi="Sylfaen"/>
          <w:sz w:val="18"/>
          <w:szCs w:val="18"/>
          <w:lang w:val="ka-GE"/>
        </w:rPr>
        <w:t xml:space="preserve"> „</w:t>
      </w:r>
      <w:r w:rsidRPr="00854585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854585">
        <w:rPr>
          <w:rFonts w:ascii="Sylfaen" w:hAnsi="Sylfaen"/>
          <w:sz w:val="18"/>
          <w:szCs w:val="18"/>
        </w:rPr>
        <w:t xml:space="preserve">“,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>„</w:t>
      </w:r>
      <w:r w:rsidRPr="00854585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>,</w:t>
      </w:r>
      <w:r w:rsidRPr="00854585">
        <w:rPr>
          <w:rFonts w:ascii="Sylfaen" w:hAnsi="Sylfaen"/>
          <w:sz w:val="18"/>
          <w:szCs w:val="18"/>
          <w:lang w:val="ka-GE"/>
        </w:rPr>
        <w:t xml:space="preserve"> „</w:t>
      </w:r>
      <w:r w:rsidRPr="00854585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Pr="00854585">
        <w:rPr>
          <w:rFonts w:ascii="Sylfaen" w:hAnsi="Sylfaen"/>
          <w:sz w:val="18"/>
          <w:szCs w:val="18"/>
          <w:lang w:val="ka-GE"/>
        </w:rPr>
        <w:t>“</w:t>
      </w:r>
      <w:r w:rsidRPr="00854585">
        <w:rPr>
          <w:rFonts w:ascii="Sylfaen" w:hAnsi="Sylfaen"/>
          <w:sz w:val="18"/>
          <w:szCs w:val="18"/>
        </w:rPr>
        <w:t xml:space="preserve">, </w:t>
      </w:r>
      <w:r w:rsidRPr="00854585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854585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854585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Pr="00854585">
        <w:rPr>
          <w:rFonts w:ascii="Sylfaen" w:hAnsi="Sylfaen"/>
          <w:sz w:val="18"/>
          <w:szCs w:val="18"/>
        </w:rPr>
        <w:t>2</w:t>
      </w:r>
      <w:r>
        <w:rPr>
          <w:rFonts w:ascii="Sylfaen" w:hAnsi="Sylfaen"/>
          <w:sz w:val="18"/>
          <w:szCs w:val="18"/>
        </w:rPr>
        <w:t>1</w:t>
      </w:r>
      <w:r w:rsidRPr="00854585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 და სამუშაოების </w:t>
      </w:r>
      <w:r w:rsidRPr="00E9308F">
        <w:rPr>
          <w:rFonts w:ascii="Sylfaen" w:hAnsi="Sylfaen"/>
          <w:sz w:val="18"/>
          <w:szCs w:val="18"/>
          <w:lang w:val="ka-GE"/>
        </w:rPr>
        <w:t>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</w:t>
      </w:r>
      <w:r>
        <w:rPr>
          <w:rFonts w:ascii="Sylfaen" w:hAnsi="Sylfaen"/>
          <w:sz w:val="18"/>
          <w:szCs w:val="18"/>
          <w:lang w:val="ka-GE"/>
        </w:rPr>
        <w:t>0</w:t>
      </w:r>
      <w:r w:rsidRPr="00E9308F">
        <w:rPr>
          <w:rFonts w:ascii="Sylfaen" w:hAnsi="Sylfaen"/>
          <w:sz w:val="18"/>
          <w:szCs w:val="18"/>
          <w:lang w:val="ka-GE"/>
        </w:rPr>
        <w:t xml:space="preserve">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8147F9" w:rsidRPr="00854585" w:rsidRDefault="008147F9" w:rsidP="008147F9">
      <w:pPr>
        <w:spacing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t xml:space="preserve"> </w:t>
      </w:r>
    </w:p>
    <w:p w:rsidR="008147F9" w:rsidRPr="00216C90" w:rsidRDefault="008147F9" w:rsidP="00FA29DD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216C90">
        <w:rPr>
          <w:rFonts w:ascii="Sylfaen" w:eastAsia="Sylfaen" w:hAnsi="Sylfaen" w:cs="Sylfaen"/>
          <w:sz w:val="22"/>
          <w:szCs w:val="22"/>
          <w:lang w:val="ka-GE"/>
        </w:rPr>
        <w:lastRenderedPageBreak/>
        <w:t xml:space="preserve">ამ მუხლის პირველი პუნქტით სხვადასხვა მუნიციპალიტეტებისათვის მიზნობრივი ტრანსფერის სახით განსაზღვრული </w:t>
      </w:r>
      <w:r w:rsidR="00FA29DD" w:rsidRPr="00216C90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 </w:t>
      </w:r>
      <w:r w:rsidR="00FA29DD" w:rsidRPr="00216C90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</w:p>
    <w:p w:rsidR="008147F9" w:rsidRPr="00216C90" w:rsidRDefault="008147F9" w:rsidP="00FA29DD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</w:rPr>
      </w:pPr>
      <w:r w:rsidRPr="00216C90">
        <w:rPr>
          <w:rFonts w:ascii="Sylfaen" w:eastAsia="Sylfaen" w:hAnsi="Sylfaen" w:cs="Sylfaen"/>
          <w:sz w:val="22"/>
          <w:szCs w:val="22"/>
          <w:lang w:val="ka-GE"/>
        </w:rPr>
        <w:t xml:space="preserve">სხვადასხვა მუნიციპალიტეტების ხელშეწყობის მიზნით, ამ მუხლის პირველი პუნქტით </w:t>
      </w:r>
      <w:r w:rsidRPr="00216C90">
        <w:rPr>
          <w:rFonts w:ascii="Sylfaen" w:eastAsia="Sylfaen" w:hAnsi="Sylfaen" w:cs="Sylfaen"/>
          <w:sz w:val="22"/>
          <w:szCs w:val="22"/>
        </w:rPr>
        <w:t>სხვადასხვა მუნიციპალიტეტებ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ისათვის სპეციალური ტრანსფერის</w:t>
      </w:r>
      <w:r w:rsidRPr="00216C90">
        <w:rPr>
          <w:rFonts w:ascii="Sylfaen" w:eastAsia="Sylfaen" w:hAnsi="Sylfaen" w:cs="Sylfaen"/>
          <w:sz w:val="22"/>
          <w:szCs w:val="22"/>
        </w:rPr>
        <w:t xml:space="preserve"> 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 xml:space="preserve">სახით განსაზღვრული </w:t>
      </w:r>
      <w:r w:rsidR="008A4468" w:rsidRPr="00216C90">
        <w:rPr>
          <w:rFonts w:ascii="Sylfaen" w:eastAsia="Sylfaen" w:hAnsi="Sylfaen" w:cs="Sylfaen"/>
          <w:sz w:val="22"/>
          <w:szCs w:val="22"/>
        </w:rPr>
        <w:t>1</w:t>
      </w:r>
      <w:r w:rsidR="00FA29DD" w:rsidRPr="00216C90">
        <w:rPr>
          <w:rFonts w:ascii="Sylfaen" w:eastAsia="Sylfaen" w:hAnsi="Sylfaen" w:cs="Sylfaen"/>
          <w:sz w:val="22"/>
          <w:szCs w:val="22"/>
        </w:rPr>
        <w:t>5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 </w:t>
      </w:r>
      <w:r w:rsidR="00FA29DD" w:rsidRPr="00216C90">
        <w:rPr>
          <w:rFonts w:ascii="Sylfaen" w:eastAsia="Sylfaen" w:hAnsi="Sylfaen" w:cs="Sylfaen"/>
          <w:sz w:val="22"/>
          <w:szCs w:val="22"/>
        </w:rPr>
        <w:t>150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 xml:space="preserve">.0 ათასი ლარის </w:t>
      </w:r>
      <w:r w:rsidRPr="00216C90">
        <w:rPr>
          <w:rFonts w:ascii="Sylfaen" w:eastAsia="Sylfaen" w:hAnsi="Sylfaen" w:cs="Sylfaen"/>
          <w:sz w:val="22"/>
          <w:szCs w:val="22"/>
        </w:rPr>
        <w:t xml:space="preserve">განკარგვა განხორციელდეს საქართველოს მთავრობის მიერ 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 xml:space="preserve">მიღებული გადაწყვეტილების შესაბამისად. </w:t>
      </w:r>
      <w:r w:rsidRPr="00216C90">
        <w:rPr>
          <w:rFonts w:ascii="Sylfaen" w:eastAsia="Sylfaen" w:hAnsi="Sylfaen" w:cs="Sylfaen"/>
          <w:sz w:val="22"/>
          <w:szCs w:val="22"/>
        </w:rPr>
        <w:t xml:space="preserve">  </w:t>
      </w:r>
    </w:p>
    <w:p w:rsidR="008933D3" w:rsidRPr="00216C90" w:rsidRDefault="008933D3" w:rsidP="008147F9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firstLine="0"/>
        <w:rPr>
          <w:rFonts w:ascii="Sylfaen" w:eastAsia="Sylfaen" w:hAnsi="Sylfaen" w:cs="Sylfaen"/>
          <w:sz w:val="22"/>
          <w:szCs w:val="22"/>
        </w:rPr>
      </w:pPr>
    </w:p>
    <w:p w:rsidR="00BD729A" w:rsidRDefault="00BD729A" w:rsidP="005E6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16C90" w:rsidRDefault="008E5948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Cs w:val="22"/>
          <w:lang w:val="ka-GE"/>
        </w:rPr>
      </w:pPr>
      <w:r w:rsidRPr="00216C90">
        <w:rPr>
          <w:rFonts w:ascii="Sylfaen" w:eastAsia="Sylfaen" w:hAnsi="Sylfaen"/>
          <w:b/>
          <w:szCs w:val="22"/>
        </w:rPr>
        <w:t>მუხლი</w:t>
      </w:r>
      <w:r w:rsidRPr="00216C90">
        <w:rPr>
          <w:rFonts w:ascii="Sylfaen" w:eastAsia="Times New Roman" w:hAnsi="Sylfaen"/>
          <w:b/>
          <w:szCs w:val="22"/>
        </w:rPr>
        <w:t xml:space="preserve"> 1</w:t>
      </w:r>
      <w:r w:rsidRPr="00216C90">
        <w:rPr>
          <w:rFonts w:ascii="Sylfaen" w:eastAsia="Times New Roman" w:hAnsi="Sylfaen"/>
          <w:b/>
          <w:szCs w:val="22"/>
          <w:lang w:val="ka-GE"/>
        </w:rPr>
        <w:t>8</w:t>
      </w:r>
      <w:r w:rsidRPr="00216C90">
        <w:rPr>
          <w:rFonts w:ascii="Sylfaen" w:eastAsia="Times New Roman" w:hAnsi="Sylfaen"/>
          <w:b/>
          <w:szCs w:val="22"/>
        </w:rPr>
        <w:t xml:space="preserve">. </w:t>
      </w:r>
      <w:r w:rsidRPr="00216C90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Pr="00216C90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szCs w:val="22"/>
          <w:lang w:val="ka-GE"/>
        </w:rPr>
      </w:pPr>
    </w:p>
    <w:p w:rsidR="008A4468" w:rsidRPr="00216C90" w:rsidRDefault="008A4468" w:rsidP="008A4468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216C90">
        <w:rPr>
          <w:rFonts w:ascii="Sylfaen" w:eastAsia="Sylfaen" w:hAnsi="Sylfaen" w:cs="Sylfaen"/>
          <w:sz w:val="22"/>
          <w:szCs w:val="22"/>
          <w:lang w:val="ka-GE"/>
        </w:rPr>
        <w:t>„საქართველოს საბიუჯეტო კოდექსის“  114</w:t>
      </w:r>
      <w:r w:rsidRPr="00216C90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-ე მუხლის მე-5 ნაწილის შესაბამისად, 2021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შემოსავლების საპროგნოზო მოცულობის,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216C90" w:rsidRDefault="008A4468" w:rsidP="008A4468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216C90">
        <w:rPr>
          <w:rFonts w:ascii="Sylfaen" w:eastAsia="Sylfaen" w:hAnsi="Sylfaen" w:cs="Sylfaen"/>
          <w:sz w:val="22"/>
          <w:szCs w:val="22"/>
          <w:lang w:val="ka-GE"/>
        </w:rPr>
        <w:t>„საქართველოს საბიუჯეტო კოდექსის“ 71-ე და 114</w:t>
      </w:r>
      <w:r w:rsidRPr="00216C90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Pr="00216C90">
        <w:rPr>
          <w:rFonts w:ascii="Sylfaen" w:eastAsia="Sylfaen" w:hAnsi="Sylfaen" w:cs="Sylfaen"/>
          <w:sz w:val="22"/>
          <w:szCs w:val="22"/>
          <w:lang w:val="ka-GE"/>
        </w:rPr>
        <w:t>-ე მუხლების შესაბამისად თითოეული მუნიციპალიტეტის მიერ მისაღები დამატებული ღირებულების გადასახადის პროცენტული მაჩვენებლი  განისაზღვროს  ცხრილის შესაბამისად:</w:t>
      </w:r>
    </w:p>
    <w:p w:rsidR="0089465C" w:rsidRPr="00854585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854585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440"/>
      </w:tblGrid>
      <w:tr w:rsidR="00566A47" w:rsidRPr="00687896" w:rsidTr="00687896">
        <w:trPr>
          <w:trHeight w:val="665"/>
          <w:tblHeader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დამატებული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გადასახადის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პროცენტული</w:t>
            </w:r>
            <w:r w:rsidRPr="00687896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89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45.32%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4.21%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0.80%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0.28%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1.42%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ყვარელის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3.48%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0.98%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0.47%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0.92%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ხარაგაულის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2.42%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0.86%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3.24%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1.03%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1.29%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2.82%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0.25%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1.52%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0.74%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1.45%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0.40%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0.09%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1.13%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0.13%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0.36%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0.63%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0.54%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0.01%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0.67%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0.38%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0.45%</w:t>
            </w:r>
          </w:p>
        </w:tc>
      </w:tr>
      <w:tr w:rsidR="00566A47" w:rsidRPr="00687896" w:rsidTr="00687896">
        <w:trPr>
          <w:trHeight w:val="288"/>
        </w:trPr>
        <w:tc>
          <w:tcPr>
            <w:tcW w:w="249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8789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2510" w:type="pct"/>
            <w:shd w:val="clear" w:color="auto" w:fill="auto"/>
            <w:vAlign w:val="center"/>
            <w:hideMark/>
          </w:tcPr>
          <w:p w:rsidR="00566A47" w:rsidRPr="00687896" w:rsidRDefault="00566A47" w:rsidP="00566A4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687896">
              <w:rPr>
                <w:rFonts w:ascii="Arial" w:eastAsia="Times New Roman" w:hAnsi="Arial"/>
                <w:color w:val="000000"/>
                <w:sz w:val="18"/>
                <w:szCs w:val="18"/>
              </w:rPr>
              <w:t>0.61%</w:t>
            </w:r>
          </w:p>
        </w:tc>
      </w:tr>
    </w:tbl>
    <w:p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AE40B9">
      <w:footerReference w:type="default" r:id="rId8"/>
      <w:pgSz w:w="12240" w:h="15840"/>
      <w:pgMar w:top="540" w:right="720" w:bottom="180" w:left="900" w:header="720" w:footer="720" w:gutter="0"/>
      <w:pgNumType w:start="2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5A" w:rsidRDefault="00D4075A" w:rsidP="00B21842">
      <w:pPr>
        <w:spacing w:after="0" w:line="240" w:lineRule="auto"/>
      </w:pPr>
      <w:r>
        <w:separator/>
      </w:r>
    </w:p>
  </w:endnote>
  <w:endnote w:type="continuationSeparator" w:id="0">
    <w:p w:rsidR="00D4075A" w:rsidRDefault="00D4075A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896" w:rsidRDefault="00687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0B9">
          <w:rPr>
            <w:noProof/>
          </w:rPr>
          <w:t>207</w:t>
        </w:r>
        <w:r>
          <w:rPr>
            <w:noProof/>
          </w:rPr>
          <w:fldChar w:fldCharType="end"/>
        </w:r>
      </w:p>
    </w:sdtContent>
  </w:sdt>
  <w:p w:rsidR="00687896" w:rsidRDefault="00687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5A" w:rsidRDefault="00D4075A" w:rsidP="00B21842">
      <w:pPr>
        <w:spacing w:after="0" w:line="240" w:lineRule="auto"/>
      </w:pPr>
      <w:r>
        <w:separator/>
      </w:r>
    </w:p>
  </w:footnote>
  <w:footnote w:type="continuationSeparator" w:id="0">
    <w:p w:rsidR="00D4075A" w:rsidRDefault="00D4075A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E625D"/>
    <w:rsid w:val="005E6863"/>
    <w:rsid w:val="006145E7"/>
    <w:rsid w:val="00644C07"/>
    <w:rsid w:val="006457EE"/>
    <w:rsid w:val="006470BC"/>
    <w:rsid w:val="00664574"/>
    <w:rsid w:val="006705B8"/>
    <w:rsid w:val="006749FD"/>
    <w:rsid w:val="00675EFA"/>
    <w:rsid w:val="006853E4"/>
    <w:rsid w:val="0068770C"/>
    <w:rsid w:val="00687896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23ED7"/>
    <w:rsid w:val="0083071B"/>
    <w:rsid w:val="00854585"/>
    <w:rsid w:val="0086296D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362B9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3656D"/>
    <w:rsid w:val="00B414B5"/>
    <w:rsid w:val="00B42692"/>
    <w:rsid w:val="00B6085E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C5596"/>
    <w:rsid w:val="00CD208C"/>
    <w:rsid w:val="00CD6345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ADD8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B50A-00C1-4926-9EA5-3EFFC673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51</cp:revision>
  <cp:lastPrinted>2019-11-28T09:42:00Z</cp:lastPrinted>
  <dcterms:created xsi:type="dcterms:W3CDTF">2018-09-26T13:28:00Z</dcterms:created>
  <dcterms:modified xsi:type="dcterms:W3CDTF">2020-11-29T20:44:00Z</dcterms:modified>
</cp:coreProperties>
</file>